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0DB5" w:rsidRDefault="00210DB5" w:rsidP="00210DB5">
      <w:pPr>
        <w:pStyle w:val="a4"/>
        <w:shd w:val="clear" w:color="auto" w:fill="FFFFFF"/>
        <w:spacing w:before="0" w:beforeAutospacing="0" w:after="0" w:afterAutospacing="0" w:line="274" w:lineRule="atLeast"/>
        <w:jc w:val="center"/>
      </w:pPr>
      <w:r>
        <w:rPr>
          <w:b/>
          <w:bCs/>
          <w:spacing w:val="-2"/>
          <w:sz w:val="28"/>
          <w:szCs w:val="28"/>
        </w:rPr>
        <w:t>ОТВЕТЫ НА ТЕСТЫ</w:t>
      </w:r>
      <w:r>
        <w:t xml:space="preserve"> </w:t>
      </w:r>
    </w:p>
    <w:p w:rsidR="00210DB5" w:rsidRDefault="00210DB5" w:rsidP="00210DB5">
      <w:pPr>
        <w:pStyle w:val="a4"/>
        <w:spacing w:before="0" w:beforeAutospacing="0" w:after="0" w:afterAutospacing="0"/>
      </w:pPr>
      <w:r>
        <w:rPr>
          <w:sz w:val="28"/>
          <w:szCs w:val="28"/>
        </w:rPr>
        <w:t> </w:t>
      </w:r>
    </w:p>
    <w:tbl>
      <w:tblPr>
        <w:tblW w:w="965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5"/>
        <w:gridCol w:w="1930"/>
        <w:gridCol w:w="1930"/>
        <w:gridCol w:w="1930"/>
        <w:gridCol w:w="1930"/>
      </w:tblGrid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А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Б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В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Г</w:t>
            </w:r>
            <w:r>
              <w:t xml:space="preserve"> </w:t>
            </w: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1.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2.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3.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4.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5.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6.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7.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8.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9.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10.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11.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sz w:val="28"/>
                <w:szCs w:val="28"/>
              </w:rPr>
              <w:t>+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sz w:val="28"/>
                <w:szCs w:val="28"/>
              </w:rPr>
              <w:t> </w:t>
            </w: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12.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13.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rStyle w:val="notranslate"/>
                <w:b/>
                <w:bCs/>
                <w:sz w:val="28"/>
                <w:szCs w:val="28"/>
              </w:rPr>
              <w:t>14.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15.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16.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17.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18.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19.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20.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21.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22.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23.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24.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25.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26.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27.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28.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30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29.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210DB5" w:rsidTr="007413F9">
        <w:trPr>
          <w:trHeight w:val="315"/>
        </w:trPr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  <w:r>
              <w:rPr>
                <w:b/>
                <w:bCs/>
                <w:sz w:val="28"/>
                <w:szCs w:val="28"/>
              </w:rPr>
              <w:t>30.</w:t>
            </w:r>
            <w:r>
              <w:t xml:space="preserve"> 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466115" w:rsidP="007413F9">
            <w:pPr>
              <w:pStyle w:val="a4"/>
              <w:spacing w:before="0" w:beforeAutospacing="0" w:after="0" w:afterAutospacing="0"/>
              <w:jc w:val="center"/>
            </w:pPr>
            <w:r>
              <w:t>+</w:t>
            </w:r>
            <w:bookmarkStart w:id="0" w:name="_GoBack"/>
            <w:bookmarkEnd w:id="0"/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0DB5" w:rsidRDefault="00210DB5" w:rsidP="007413F9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210DB5" w:rsidRDefault="00210DB5" w:rsidP="00210DB5">
      <w:pPr>
        <w:shd w:val="clear" w:color="auto" w:fill="FFFFFF"/>
        <w:spacing w:after="0" w:line="240" w:lineRule="auto"/>
        <w:ind w:left="720" w:hanging="360"/>
        <w:jc w:val="both"/>
      </w:pPr>
    </w:p>
    <w:p w:rsidR="00107251" w:rsidRPr="00210DB5" w:rsidRDefault="00107251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Предмет методики преподавания права </w:t>
      </w:r>
      <w:proofErr w:type="gramStart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это</w:t>
      </w:r>
      <w:proofErr w:type="gramEnd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совокупность методических приемов, средств обучения праву, формирования умений и навыков поведения в правовой сфере. Это научная дисциплина, осуществляющая отбор юридического материала в учебный предмет и разрабатывающая на основе </w:t>
      </w:r>
      <w:proofErr w:type="spellStart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общедидактической</w:t>
      </w:r>
      <w:proofErr w:type="spellEnd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теории эффективные методические средства для формирования правовой культуры каждого индивида и общества в целом. Методика преподавания права позволяет совершенствовать образовательный процесс. Так профессиональный педагог может избежать ошибок, подготовить действительно юридически 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компетентных, грамотных, воспитанных людей, которые займут достойное место в общественной жизни.</w:t>
      </w:r>
    </w:p>
    <w:p w:rsidR="002546EB" w:rsidRPr="00210DB5" w:rsidRDefault="003F59D7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Основными задачами, преподавания правоведения являются: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– отбор учебного правового материала и формирование специальных правовых курсов для системы обучения;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– создание специальных правовых обучающих программ, учебников и методических пособий;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– отбор средств обучения, определение системы методических приемов и организационных форм обучения праву, а также преподавания юридических курсов;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– постоянное совершенствование методов обучения праву с учетом результативности применения уже существующих.</w:t>
      </w:r>
      <w:r w:rsidR="002546EB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</w:r>
    </w:p>
    <w:p w:rsidR="00210DB5" w:rsidRDefault="00210DB5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Основные функции методики преподавания права</w:t>
      </w: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2546EB" w:rsidRPr="00210DB5" w:rsidRDefault="00210DB5" w:rsidP="00210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2546EB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Практико-организационная. Она позволяет дать конкретные рекомендации педагогам по выстраиванию грамотной системы правового обучения и воспитания в государстве. С этой целью обобщается и систематизируется опыт правового обучения за рубежом и в нашей стране, выявляются определенные закономерности, которые оказались весьма результативными в образовании и формировании правовой грамотности человека.</w:t>
      </w:r>
    </w:p>
    <w:p w:rsidR="001677BA" w:rsidRPr="00210DB5" w:rsidRDefault="00210DB5" w:rsidP="00210DB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1677BA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Мировоззренческая. Такая функция обеспечивает формирование определенных устойчивых взглядов обучаемых на вопросы правовой действительности, понимание ценности права и его установок, следовательно, необходимости уважения и соблюдения законов государства, прав личности.</w:t>
      </w:r>
    </w:p>
    <w:p w:rsidR="001677BA" w:rsidRPr="00210DB5" w:rsidRDefault="00210DB5" w:rsidP="00210DB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1677BA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Эвристическая. Она позволяет выявлять некоторые пробелы в изучении правовых вопросов и по необходимости восполнять их новыми идеями по передаче и осмыслению правовой жизни.</w:t>
      </w:r>
    </w:p>
    <w:p w:rsidR="001677BA" w:rsidRPr="00210DB5" w:rsidRDefault="00210DB5" w:rsidP="00210DB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1677BA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Прогностическая. В рамках решения задач правового обучения, формирования правовой культуры личности, такая функция позволяет предвидеть заранее возможный результат процесса обучения в виде моделей обученности и корректировать пути их достижения.</w:t>
      </w:r>
    </w:p>
    <w:p w:rsidR="00210DB5" w:rsidRPr="00210DB5" w:rsidRDefault="00030359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Сущность правового образовательного процесса </w:t>
      </w:r>
      <w:proofErr w:type="gramStart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 это</w:t>
      </w:r>
      <w:proofErr w:type="gramEnd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совокупности учебно-воспитательного и самообразовательного процессов, направленных на решение задач правового обучения, правового воспитания и развития личности в соответствии с государственным образовательным стандартом. </w:t>
      </w:r>
    </w:p>
    <w:p w:rsidR="00210DB5" w:rsidRPr="00210DB5" w:rsidRDefault="00BD141C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Методический прием – это частное средство, с помощью которого в совокупности с другими средствами реализуется тот или иной способ познания правовой действительности и приобретения навыков в области права. Так, преподаватель формулирует перед обучаемыми определенную проблему, предлагает подумать </w:t>
      </w:r>
      <w:proofErr w:type="gramStart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над рядом проблемных вопросов</w:t>
      </w:r>
      <w:proofErr w:type="gramEnd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т. д.</w:t>
      </w:r>
    </w:p>
    <w:p w:rsidR="00210DB5" w:rsidRPr="00210DB5" w:rsidRDefault="000E7A90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Значимыми компонентами методики преподавания юридических дисциплин являются:</w:t>
      </w:r>
      <w:r w:rsidR="00210DB5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210DB5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1) рационализация предмета, постановка целей и задач </w:t>
      </w:r>
      <w:r w:rsidR="00210DB5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преподавания;</w:t>
      </w:r>
      <w:r w:rsidR="00210DB5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2) отбор содержания и структурирование предмета,</w:t>
      </w:r>
      <w:r w:rsidR="00210DB5"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br/>
        <w:t>3) определение методов и приемов обучения,</w:t>
      </w:r>
    </w:p>
    <w:p w:rsidR="00210DB5" w:rsidRPr="00210DB5" w:rsidRDefault="00210DB5" w:rsidP="00210DB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4) определение и использование средств оценивания,</w:t>
      </w:r>
    </w:p>
    <w:p w:rsidR="00210DB5" w:rsidRPr="00210DB5" w:rsidRDefault="00210DB5" w:rsidP="00210DB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5) планирование учебной деятельности</w:t>
      </w:r>
    </w:p>
    <w:p w:rsidR="008C53B6" w:rsidRPr="00210DB5" w:rsidRDefault="008C53B6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Цель обучения - мысленно предвидеть конечные результаты деятельности. Их развитие - прерогатива государства. В нем подчеркиваются государственные, общественные и инициативные цели в области образования и образования. Цели обучения также делятся на глобальные и тематические (общие и конкретные) цели. Цели нормативных документов, разработанных в 2000-2009 годах в качестве основной цели юридического образования, по сей день адаптированы для гражданина демократического общества с высокой правовой культурой, который хорошо знает свои права и обязанности и уважает права других, который терпим в общении и может разрешать юридические конфликты.</w:t>
      </w:r>
    </w:p>
    <w:p w:rsidR="00F74B35" w:rsidRPr="00210DB5" w:rsidRDefault="00F74B35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Классификация методов обучения по источникам знаний, которые слу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жат в качестве общего признака выделяемых в ней методов. Глав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источников издавна известно три: практика, наглядность, сло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во. В ходе культурного прогресса к ним присоединился еще один — книга, а в последние десятилетия все сильнее заявляет о себе мощный безбумажный источник информации — видео в сочетании с но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вейшими компьютерными системами.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данной классификации выделяется пять общих методов: прак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 xml:space="preserve">тический, наглядный, словесный, работа с книгой, </w:t>
      </w:r>
      <w:proofErr w:type="spellStart"/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видеометод</w:t>
      </w:r>
      <w:proofErr w:type="spellEnd"/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Каж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дый из них может выступать в различных модификациях (видоиз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менениях).</w:t>
      </w:r>
    </w:p>
    <w:p w:rsidR="000073C4" w:rsidRPr="00210DB5" w:rsidRDefault="000073C4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организации обучения — это способ упорядочивания взаимодействия участников обучения, способ его существования. В дидактике отсутствует однозначная классификация (или типология) форм организации обучения.</w:t>
      </w:r>
    </w:p>
    <w:p w:rsidR="000073C4" w:rsidRPr="00210DB5" w:rsidRDefault="000073C4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основе системы теоретических понятий всё многообразие учебных занятий разделяется на три группы: индивидуальные учебные занятия, групповые учебные занятия, коллективные учебные занятия. </w:t>
      </w:r>
    </w:p>
    <w:p w:rsidR="00624AA3" w:rsidRPr="00210DB5" w:rsidRDefault="008F312B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Сущностные признаки учебных </w:t>
      </w:r>
      <w:proofErr w:type="gramStart"/>
      <w:r w:rsidRPr="00210D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занятий: 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фронт — ситуация, когда все ученики класса делают одно и то же в данный промежуток времени, одним и тем же способом и одними и теми же средствами. Учебный маршрут — определённая последовательность освоения разделов и тем учебной программы. Временные кооперации обучающихся — непостоянные по составу группы или отдельные пары для выполнения какой-либо конкретной учебной задачи. Когда задание выполнено всеми членами временной кооперации, она прекращает свое существование, и образуются новые объединения. </w:t>
      </w:r>
    </w:p>
    <w:p w:rsidR="00210DB5" w:rsidRPr="00210DB5" w:rsidRDefault="00624AA3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выборе методов обучения нужно руководствоваться следующими критериями:</w:t>
      </w:r>
      <w:r w:rsidR="00210DB5"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методов принципам правового обучения.</w:t>
      </w:r>
      <w:r w:rsidR="00210DB5"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10DB5" w:rsidRPr="00210DB5" w:rsidRDefault="00624AA3" w:rsidP="00210D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целям и задачам правового обучения.</w:t>
      </w:r>
    </w:p>
    <w:p w:rsidR="00210DB5" w:rsidRPr="00210DB5" w:rsidRDefault="00624AA3" w:rsidP="00210D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Соответствие содержанию данной темы.</w:t>
      </w:r>
    </w:p>
    <w:p w:rsidR="00210DB5" w:rsidRPr="00210DB5" w:rsidRDefault="00624AA3" w:rsidP="00210D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учебным возможностям обучаемых.</w:t>
      </w:r>
    </w:p>
    <w:p w:rsidR="00210DB5" w:rsidRPr="00210DB5" w:rsidRDefault="00624AA3" w:rsidP="00210DB5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возможностям учителя</w:t>
      </w:r>
    </w:p>
    <w:p w:rsidR="00D46558" w:rsidRPr="00210DB5" w:rsidRDefault="00D46558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метода объяснения требует:</w:t>
      </w:r>
    </w:p>
    <w:p w:rsidR="00D46558" w:rsidRPr="00210DB5" w:rsidRDefault="00D46558" w:rsidP="00210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Точного и четкого формулирования задачи, сути проблемы, вопроса</w:t>
      </w:r>
    </w:p>
    <w:p w:rsidR="00D46558" w:rsidRPr="00210DB5" w:rsidRDefault="00D46558" w:rsidP="00210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Последовательного раскрытия причинно-следственных связей, аргументации и доказательств</w:t>
      </w:r>
    </w:p>
    <w:p w:rsidR="00D46558" w:rsidRPr="00210DB5" w:rsidRDefault="00D46558" w:rsidP="00210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*Использования сравнения, сопоставления, аналогии</w:t>
      </w:r>
    </w:p>
    <w:p w:rsidR="00D46558" w:rsidRPr="00210DB5" w:rsidRDefault="00D46558" w:rsidP="00210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*Привлечения ярких примеров</w:t>
      </w:r>
    </w:p>
    <w:p w:rsidR="00210DB5" w:rsidRPr="00210DB5" w:rsidRDefault="00D46558" w:rsidP="00210D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Безукоризненной логики изложения.</w:t>
      </w:r>
    </w:p>
    <w:p w:rsidR="00EB772D" w:rsidRPr="00210DB5" w:rsidRDefault="00EB772D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Недостатки метода беседы: требует много времени; содержит элемент</w:t>
      </w:r>
      <w:r w:rsidR="00985F08"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риска (учащийся может дать неправильный ответ, который воспринимается другими учащимися и фиксируется в их памяти); необходим запас знаний</w:t>
      </w:r>
      <w:r w:rsidR="00985F08"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85F08" w:rsidRPr="00210DB5" w:rsidRDefault="00985F08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</w:t>
      </w:r>
      <w:r w:rsidR="005D26F7"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методы правового обучения </w:t>
      </w:r>
      <w:proofErr w:type="gram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методы,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средств. Наглядные методы используются во взаимосвязи со словесными и практическими</w:t>
      </w:r>
      <w:r w:rsidR="005D26F7"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методами обучения. </w:t>
      </w:r>
    </w:p>
    <w:p w:rsidR="0082569D" w:rsidRPr="00210DB5" w:rsidRDefault="0082569D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использовании наглядных методов обучения необходимо соблюдать ряд условий: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применяемая наглядность должна соответствовать возрасту учащихся;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наглядность должна использоваться в меру и показывать её следует постепенно и только в соответствующий момент занятия;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наблюдение должно быть организовано таким образом, чтобы все учащиеся могли хорошо видеть демонстрируемый предмет;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г) необходимо чётко выделять главное, существенное при показе иллюстраций;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д) детально продумывать пояснения, даваемые в ходе демонстрации иллюстраций;</w:t>
      </w:r>
    </w:p>
    <w:p w:rsidR="0082569D" w:rsidRPr="00210DB5" w:rsidRDefault="0082569D" w:rsidP="00210D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е) демонстрируемая наглядность должна быть точно согласована с содержанием правового материала. </w:t>
      </w:r>
    </w:p>
    <w:p w:rsidR="0082569D" w:rsidRPr="00210DB5" w:rsidRDefault="0082569D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Практические методы правового обучения основаны на практической деятельности учащихся. К ним относят упражнения, решения правовых задач, работа с источниками правовой информации.</w:t>
      </w:r>
    </w:p>
    <w:p w:rsidR="0082569D" w:rsidRPr="00210DB5" w:rsidRDefault="0082569D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Правила применения разнообразных методов правового обучения. Метод, применяемый преподавателем, диктуется не содержанием, а внешней и внутренней готовностью всех участников процесса образования. Необходимо создать обстановку взаимодействия и взаимной ответственности. Только при желании аудитории, узнать что-то новое, возможен положительный результат. Метод должен «работать» на выполнение определённой задачи, а не применяться ради технологии и должен иметь чёткую и последовательную структуру его применения с обоснованием и тщательной проработкой всех этапов его воплощения.</w:t>
      </w:r>
    </w:p>
    <w:p w:rsidR="002116A2" w:rsidRPr="00210DB5" w:rsidRDefault="002116A2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Применение любого метода должно основываться на демократических ценностях и быть личностно-ориентированным, его необходимо использовать с учетом демократических ценностей (уважение других точек зрения, мирное разрешение конфликтов, соблюдение прав человека и т.п.), предпочтение следует оказывать методам, которые особенно заметно влияют на формирование личности </w:t>
      </w:r>
      <w:r w:rsidR="00553605"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каждого учащегося.</w:t>
      </w:r>
    </w:p>
    <w:p w:rsidR="00553605" w:rsidRPr="00210DB5" w:rsidRDefault="00553605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Методика обучения праву базируется на следующих принципах: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Вариативности и альтернативности моделей правового обу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чения — это значит, что существует много разнообразных подходов в области обучения праву и они реально суще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ствуют в практике (это связано с отсутствием единой, стро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го обязательной системы правового образования: в различ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ных регионах сложились свои традиции и особенности правового обучения, которые, безусловно, основаны на требованиях Госстандарта знаний);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Личностно-ориентированного подхода, обеспечивающего индивидуализацию и дифференциацию обучения праву (ра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бота с каждым обучаемым, с опорой на его уровень способ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ностей, возможностей восприятия правового материала, которая позволяет обеспечить развитие, обучение каждого, кто оказался включенным в образовательный процесс);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Максимальной системы активизации познавательной дея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тельности учеников с опорой на их социальный опыт (школьники должны научиться самостоятельно добывать знания, активно участвовать в учебной деятельности, а не быть пассивными созерцателями происходящего, прину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дительно выполняя «наставления» взрослых, педагогов.);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4. Образовании на основе положительных эмоциональных пе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реживаний субъектов процесса обучения в режиме диалогового сотрудничества «учитель — ученик» (правовое обуче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ние может быть успешным только на уровне взаимосогла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сованного, доброго, уважительного отношения учителя и учеников друг к другу);</w:t>
      </w:r>
      <w:r w:rsidRPr="00210DB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5. Выстраивании профессионально грамотной и апробиро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ванной вертикали правового образования, которая носит многоступенчатый характер (обучение праву в детском сапу, школе, вузе). Это значит, что правовое обучение должно быть поэтапным: начинаясь в раннем детском возрасте, оно продолжается до старшей ступени в школе, естествен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но, этим не ограничиваясь</w:t>
      </w:r>
      <w:r w:rsidR="00515067"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15067" w:rsidRPr="00210DB5" w:rsidRDefault="00515067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и значение методики обучения праву заключается в том, что методика обучения праву призвана вооружить педагога целым арсеналом профессиональных средств, приемов, методов обучения праву. Она позволяет четко сформулировать задачи обучения, обеспечивает учебный про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цесс современными методами обучения, связана с обществознанием, правом и исто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рией, в рамках которых разрабатывается содержание обучения. Методика права связана с психологией, педагогикой, отдельными юридически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ми отраслевыми и прикладными науками.</w:t>
      </w:r>
    </w:p>
    <w:p w:rsidR="00E00DF3" w:rsidRPr="00210DB5" w:rsidRDefault="00E00DF3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Дискуссия в педагогическом процессе </w:t>
      </w:r>
      <w:proofErr w:type="gram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это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обмен мнениями по вопросам в соответствии с более или менее определенными правилами проведения и с участием всех или только некоторых присутствующих на </w:t>
      </w: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занятии. При массовой дискуссии все члены, за исключением преподавателя, находятся в равном положении. Здесь не выделяют </w:t>
      </w:r>
      <w:proofErr w:type="gram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особых докладчиков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все присутствуют не только в качестве слушателей. Специальный вопрос обсуждается в определенном порядке, обычно в соответствии со строгим или несколько видоизмененным регламентом занятия, который определяется преподавателем.</w:t>
      </w:r>
    </w:p>
    <w:p w:rsidR="00986BF8" w:rsidRPr="00210DB5" w:rsidRDefault="00986BF8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Групповая дискуссия заключается в обсуждении вопросов специальной выделенной группой перед аудиторией. Как и любая форма обсуждения перед слушателями, она представляет диспут.</w:t>
      </w:r>
    </w:p>
    <w:p w:rsidR="00986BF8" w:rsidRPr="00210DB5" w:rsidRDefault="00986BF8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 обучения — это обобщенная характеристика обучающих систем, устанавливающая особенности обучающей и учебной деятельности; характер взаимодействия учителя и учащихся в процессе обучения; функции используе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мых средств, методов и форм обучения.</w:t>
      </w:r>
    </w:p>
    <w:p w:rsidR="00C00B5F" w:rsidRPr="00210DB5" w:rsidRDefault="00986BF8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видам обучения относятся: объяснительно-иллюстративное, догма</w:t>
      </w: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тическое, проблемное, программированное, развивающее, эвристическое, личностно ориентированное, компьютерное, модульные, дистанционное, межпредметное и др.</w:t>
      </w:r>
    </w:p>
    <w:p w:rsidR="00A01BFB" w:rsidRPr="00210DB5" w:rsidRDefault="00A01BFB" w:rsidP="00210DB5">
      <w:pPr>
        <w:pStyle w:val="a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 связи в правовом обучении проявляются в виде установления взаимосвязей разных учебных курсов по содержательным аспектам (в том числе между изучаемыми явлениями, событиями, фактами), проведения взаимосогласованных форм учебной работы, установления преемственности в формировании умений и навыков деятельности. Знания, которыми обладают ученики, следует непременно использовать при рассмотрении новых тем правового курса.</w:t>
      </w:r>
    </w:p>
    <w:p w:rsidR="00C00B5F" w:rsidRPr="00210DB5" w:rsidRDefault="00C00B5F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Классификация форм обучения: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*По месту проведения занятий: учебные формы (лекция, семинар, лабораторная работа, консультация и т.д.); внеурочные (экскурсии</w:t>
      </w:r>
      <w:proofErr w:type="gram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);Дистанционная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домашняя работа ;форма; производственная и преддипломная практика.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*По ведущему методу преподавания (беседа, семинар, игра и др.)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дидактической задаче: урок изучения нового материала; Урок обобщения и систематизации знаний; урок закрепления знаний; урок формирования умений; комбинированный урок.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*По месту занятия в системе работы: вводное занятие и тематическое занятие; заключительное занятие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*По форме проведения занятия: традиционное построение </w:t>
      </w:r>
      <w:proofErr w:type="gram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занятия(</w:t>
      </w:r>
      <w:proofErr w:type="gram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теоретическое занятие, практическое занятие); инновационное построение занятия, т.е. занятие имеет нестандартную гибкую структуру; бинарное занятие (взаимодействие 2-х педагогов разных дисциплин)</w:t>
      </w:r>
    </w:p>
    <w:p w:rsidR="00C00B5F" w:rsidRPr="00210DB5" w:rsidRDefault="00C00B5F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*По способу проведения контроля в конце занятия: традиционный контроль: опрос, тестирование и др.; урок контроля знаний, умений и навыков (контрольная работа, собеседование, зачет, защита проекта и др.); инновационный контроль: занятие с применением рейтинговой оценки деятельности м </w:t>
      </w:r>
      <w:proofErr w:type="spellStart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микрогруппыо</w:t>
      </w:r>
      <w:proofErr w:type="spellEnd"/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отдельного обучающегося.</w:t>
      </w:r>
    </w:p>
    <w:p w:rsidR="00D43246" w:rsidRPr="00210DB5" w:rsidRDefault="00D43246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0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Дидактические принципы – это методическое выражение познанных законов и закономерностей, знание о целях правового обучения, сущности содержании, структуре обучения выраженное в форме, позволяющей использовать их в качестве норм педагогической практики. </w:t>
      </w:r>
    </w:p>
    <w:p w:rsidR="00D73268" w:rsidRPr="00210DB5" w:rsidRDefault="00D73268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Фронтальная форма организации обучения — учитель общается со всеми учащимися; перед учащимися ставится одна или несколько дидактических задач; учащиеся сопричастны к коллективу, разделяется общий успех или неуспех.</w:t>
      </w:r>
    </w:p>
    <w:p w:rsidR="00D73268" w:rsidRPr="00210DB5" w:rsidRDefault="00D73268" w:rsidP="00210DB5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Достоинства фронтальной формы: возможность активного взаимодействия в группе учащихся; создание атмосферы коллективного обсуждения; воспитание чувства коллективизма; умение работать в коллективе и вести диалог с товарищами, педагогом; экономичность по временным затратам.</w:t>
      </w:r>
    </w:p>
    <w:p w:rsidR="00D73268" w:rsidRPr="00210DB5" w:rsidRDefault="00D73268" w:rsidP="00210DB5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1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Недостатки фронтальной формы: нацеленность на некоторого абстрактного, усреднённого учащегося. </w:t>
      </w:r>
    </w:p>
    <w:p w:rsidR="00E00DF3" w:rsidRPr="00D73268" w:rsidRDefault="00E00DF3" w:rsidP="00210DB5">
      <w:pPr>
        <w:spacing w:after="6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5067" w:rsidRPr="00D73268" w:rsidRDefault="00515067" w:rsidP="00210DB5">
      <w:pPr>
        <w:spacing w:after="60" w:line="270" w:lineRule="atLeast"/>
        <w:ind w:left="60"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6558" w:rsidRPr="00D73268" w:rsidRDefault="00D46558" w:rsidP="00210DB5">
      <w:pPr>
        <w:spacing w:after="60" w:line="270" w:lineRule="atLeast"/>
        <w:ind w:righ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312B" w:rsidRPr="00D73268" w:rsidRDefault="008F312B" w:rsidP="00210DB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4AA3" w:rsidRPr="000E7A90" w:rsidRDefault="00624AA3" w:rsidP="00210DB5">
      <w:pPr>
        <w:shd w:val="clear" w:color="auto" w:fill="FFFFFF"/>
        <w:spacing w:after="0" w:line="240" w:lineRule="auto"/>
        <w:ind w:left="60" w:right="60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0E7A90" w:rsidRPr="00BD141C" w:rsidRDefault="000E7A90" w:rsidP="00210DB5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030359" w:rsidRPr="001677BA" w:rsidRDefault="00030359" w:rsidP="00210D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1677BA" w:rsidRPr="002546EB" w:rsidRDefault="001677BA" w:rsidP="001677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2546EB" w:rsidRPr="003F59D7" w:rsidRDefault="002546EB" w:rsidP="003F59D7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F59D7" w:rsidRPr="00D73268" w:rsidRDefault="003F59D7" w:rsidP="001072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6A3DCA" w:rsidRPr="00D73268" w:rsidRDefault="006A3DCA" w:rsidP="0010725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6A3DCA" w:rsidRPr="00D73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1823"/>
    <w:multiLevelType w:val="multilevel"/>
    <w:tmpl w:val="41582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E5135A"/>
    <w:multiLevelType w:val="multilevel"/>
    <w:tmpl w:val="48C4F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644A84"/>
    <w:multiLevelType w:val="hybridMultilevel"/>
    <w:tmpl w:val="D452C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76AE1"/>
    <w:multiLevelType w:val="multilevel"/>
    <w:tmpl w:val="0F66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BA6496"/>
    <w:multiLevelType w:val="multilevel"/>
    <w:tmpl w:val="46C4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9A18CF"/>
    <w:multiLevelType w:val="hybridMultilevel"/>
    <w:tmpl w:val="B582DDC4"/>
    <w:lvl w:ilvl="0" w:tplc="678A9F32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86CEB2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F0C4C"/>
    <w:multiLevelType w:val="hybridMultilevel"/>
    <w:tmpl w:val="F404049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BA04A49"/>
    <w:multiLevelType w:val="hybridMultilevel"/>
    <w:tmpl w:val="2708D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865D70"/>
    <w:multiLevelType w:val="multilevel"/>
    <w:tmpl w:val="CC96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D87688"/>
    <w:multiLevelType w:val="multilevel"/>
    <w:tmpl w:val="14EE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7D2968"/>
    <w:multiLevelType w:val="hybridMultilevel"/>
    <w:tmpl w:val="5686E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1602E"/>
    <w:multiLevelType w:val="multilevel"/>
    <w:tmpl w:val="444A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585C1E"/>
    <w:multiLevelType w:val="multilevel"/>
    <w:tmpl w:val="57D27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0"/>
  </w:num>
  <w:num w:numId="5">
    <w:abstractNumId w:val="9"/>
  </w:num>
  <w:num w:numId="6">
    <w:abstractNumId w:val="8"/>
  </w:num>
  <w:num w:numId="7">
    <w:abstractNumId w:val="11"/>
  </w:num>
  <w:num w:numId="8">
    <w:abstractNumId w:val="12"/>
  </w:num>
  <w:num w:numId="9">
    <w:abstractNumId w:val="3"/>
  </w:num>
  <w:num w:numId="10">
    <w:abstractNumId w:val="4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2A76"/>
    <w:rsid w:val="000073C4"/>
    <w:rsid w:val="00030359"/>
    <w:rsid w:val="000E7A90"/>
    <w:rsid w:val="00107251"/>
    <w:rsid w:val="001677BA"/>
    <w:rsid w:val="00210DB5"/>
    <w:rsid w:val="002116A2"/>
    <w:rsid w:val="002546EB"/>
    <w:rsid w:val="002F0772"/>
    <w:rsid w:val="003F59D7"/>
    <w:rsid w:val="00466115"/>
    <w:rsid w:val="00515067"/>
    <w:rsid w:val="00553605"/>
    <w:rsid w:val="005D26F7"/>
    <w:rsid w:val="00622A76"/>
    <w:rsid w:val="00624AA3"/>
    <w:rsid w:val="006A3DCA"/>
    <w:rsid w:val="0082569D"/>
    <w:rsid w:val="008C53B6"/>
    <w:rsid w:val="008F312B"/>
    <w:rsid w:val="00985F08"/>
    <w:rsid w:val="00986BF8"/>
    <w:rsid w:val="00A01BFB"/>
    <w:rsid w:val="00BC5151"/>
    <w:rsid w:val="00BC753D"/>
    <w:rsid w:val="00BD141C"/>
    <w:rsid w:val="00C00B5F"/>
    <w:rsid w:val="00D43246"/>
    <w:rsid w:val="00D46558"/>
    <w:rsid w:val="00D73268"/>
    <w:rsid w:val="00E00DF3"/>
    <w:rsid w:val="00EB772D"/>
    <w:rsid w:val="00F74B35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6C74"/>
  <w15:docId w15:val="{51D28E0D-7684-4783-8023-B1E6F1FE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7251"/>
    <w:pPr>
      <w:ind w:left="720"/>
      <w:contextualSpacing/>
    </w:pPr>
  </w:style>
  <w:style w:type="character" w:customStyle="1" w:styleId="notranslate">
    <w:name w:val="notranslate"/>
    <w:basedOn w:val="a0"/>
    <w:rsid w:val="00210DB5"/>
  </w:style>
  <w:style w:type="paragraph" w:styleId="a4">
    <w:name w:val="Normal (Web)"/>
    <w:basedOn w:val="a"/>
    <w:link w:val="a5"/>
    <w:rsid w:val="00210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locked/>
    <w:rsid w:val="00210D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2233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7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53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944386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9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97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43577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2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0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21179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449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3333">
          <w:marLeft w:val="1170"/>
          <w:marRight w:val="7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0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370304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4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967013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2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9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052480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7</Pages>
  <Words>2186</Words>
  <Characters>12465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Evgeniya Pokhilko</cp:lastModifiedBy>
  <cp:revision>34</cp:revision>
  <dcterms:created xsi:type="dcterms:W3CDTF">2023-10-29T18:31:00Z</dcterms:created>
  <dcterms:modified xsi:type="dcterms:W3CDTF">2023-10-30T20:18:00Z</dcterms:modified>
</cp:coreProperties>
</file>